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AB04">
      <w:pPr>
        <w:shd w:val="clear" w:color="auto" w:fill="FFFFFF"/>
        <w:spacing w:after="0" w:line="240" w:lineRule="auto"/>
        <w:jc w:val="center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</w:p>
    <w:p w14:paraId="2C661B2C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CÂMARA MUNICIPAL DE PIEDADE DE PONTE NOVA – MG</w:t>
      </w:r>
    </w:p>
    <w:p w14:paraId="2F6A04FC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212529"/>
          <w:sz w:val="24"/>
          <w:szCs w:val="24"/>
          <w:lang w:eastAsia="pt-BR"/>
        </w:rPr>
        <w:t>INDICAÇÃO Nº 10/2026</w:t>
      </w:r>
    </w:p>
    <w:p w14:paraId="22B13949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53371BB1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Autora: Vereadora Lucimeire de Souza Boroni Mayrink</w:t>
      </w:r>
    </w:p>
    <w:p w14:paraId="0EF3E1EA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Ao Excelentíssimo Senhor Prefeito Municipal,</w:t>
      </w:r>
    </w:p>
    <w:p w14:paraId="244ED339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453E1B24">
      <w:pPr>
        <w:shd w:val="clear" w:color="auto" w:fill="FFFFFF"/>
        <w:spacing w:after="0" w:line="240" w:lineRule="auto"/>
        <w:ind w:firstLine="240" w:firstLineChars="100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 Vereadora que esta subscreve, no uso de suas atribuições legais e regimentais, vem,respeitosamente, à presença de Vossa Excelência, indicar a adoção das providências necessárias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para a execução de serviços de reforma do calçamento da Rua Nego Juvêncio, neste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município.</w:t>
      </w:r>
    </w:p>
    <w:p w14:paraId="41E4DC0C">
      <w:pPr>
        <w:shd w:val="clear" w:color="auto" w:fill="FFFFFF"/>
        <w:spacing w:after="0" w:line="240" w:lineRule="auto"/>
        <w:ind w:firstLine="240" w:firstLineChars="100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4F64F946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JUSTIFICATIVA</w:t>
      </w:r>
    </w:p>
    <w:p w14:paraId="58026E33">
      <w:pPr>
        <w:shd w:val="clear" w:color="auto" w:fill="FFFFFF"/>
        <w:spacing w:after="0" w:line="240" w:lineRule="auto"/>
        <w:ind w:firstLine="360" w:firstLineChars="150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A presente proposição tem por finalidade atender às legítimas reivindicações dos moradores da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Rua Nego Juvêncio, os quais vêm enfrentando constantes transtornos em decorrência das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precárias condições de conservação do calçamento, caracterizadas por desníveis, pedras soltas e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irregularidades ao longo da via, circunstâncias que comprometem a adequada trafegabilidade e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representam risco à segurança de pedestres e condutores.</w:t>
      </w:r>
    </w:p>
    <w:p w14:paraId="3B65BE75">
      <w:pPr>
        <w:shd w:val="clear" w:color="auto" w:fill="FFFFFF"/>
        <w:spacing w:after="0" w:line="240" w:lineRule="auto"/>
        <w:ind w:firstLine="480" w:firstLineChars="200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Cumpre salientar que a matéria em apreço já foi anteriormente submetida à apreciação desta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Egrégia Casa Legislativa, tendo sido devidamente discutida e aprovada por meio da Indicação nº35/2025, de autoria do Vereador Elvis Luciano Batista de Souza, o que evidencia a relevância e a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urgência da demanda, ainda pendente de atendimento pelo Poder Executivo.</w:t>
      </w:r>
    </w:p>
    <w:p w14:paraId="15BF3562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31AA8646">
      <w:pPr>
        <w:shd w:val="clear" w:color="auto" w:fill="FFFFFF"/>
        <w:spacing w:after="0" w:line="240" w:lineRule="auto"/>
        <w:ind w:firstLine="480" w:firstLineChars="200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Diante do exposto, reitera-se a necessidade de que sejam adotadas, com a máxima brevidade, as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medidas administrativas cabíveis, visando à realização da reforma do calçamento da referida via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pública, de modo a assegurar melhores condições de mobilidade urbana, segurança e qualidade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de vida à população local.</w:t>
      </w:r>
    </w:p>
    <w:p w14:paraId="72A3BD58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58193123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Nestes termos, aguarda-se o devido acolhimento da presente indicação.</w:t>
      </w:r>
    </w:p>
    <w:p w14:paraId="0CB5967F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Sala das Sessões,  06 de abril de 2026.</w:t>
      </w:r>
    </w:p>
    <w:p w14:paraId="3F6F3AC5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43F6CA3C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205D490B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______________</w:t>
      </w:r>
      <w:r>
        <w:rPr>
          <w:rFonts w:hint="default" w:ascii="Arial" w:hAnsi="Arial" w:eastAsia="Times New Roman" w:cs="Arial"/>
          <w:color w:val="212529"/>
          <w:sz w:val="24"/>
          <w:szCs w:val="24"/>
          <w:lang w:val="en-US" w:eastAsia="pt-BR"/>
        </w:rPr>
        <w:t>____________________</w:t>
      </w:r>
      <w:bookmarkStart w:id="0" w:name="_GoBack"/>
      <w:bookmarkEnd w:id="0"/>
    </w:p>
    <w:p w14:paraId="62B13138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Lucimeire de Souza Boroni Mayrink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D02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D6E3422"/>
    <w:rsid w:val="2E9F4BC3"/>
    <w:rsid w:val="3F6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3230</Characters>
  <Lines>26</Lines>
  <Paragraphs>7</Paragraphs>
  <TotalTime>6</TotalTime>
  <ScaleCrop>false</ScaleCrop>
  <LinksUpToDate>false</LinksUpToDate>
  <CharactersWithSpaces>3820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2026-04-06T21:34:53Z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F319A87DED084A4AAB00F32AE583E6C2_13</vt:lpwstr>
  </property>
</Properties>
</file>