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099" w:rsidRDefault="00932AE3">
      <w:pPr>
        <w:pStyle w:val="SemEspaamento"/>
        <w:jc w:val="center"/>
        <w:rPr>
          <w:b/>
          <w:bCs/>
        </w:rPr>
      </w:pPr>
      <w:r>
        <w:rPr>
          <w:b/>
          <w:bCs/>
        </w:rPr>
        <w:t>Projeto de Resolução n.º 002</w:t>
      </w:r>
      <w:bookmarkStart w:id="0" w:name="_GoBack"/>
      <w:bookmarkEnd w:id="0"/>
      <w:r w:rsidR="00256A68">
        <w:rPr>
          <w:b/>
          <w:bCs/>
        </w:rPr>
        <w:t>/2026</w:t>
      </w:r>
    </w:p>
    <w:p w:rsidR="00902099" w:rsidRDefault="00902099">
      <w:pPr>
        <w:pStyle w:val="SemEspaamento"/>
        <w:jc w:val="both"/>
      </w:pPr>
    </w:p>
    <w:p w:rsidR="00902099" w:rsidRDefault="00902099">
      <w:pPr>
        <w:pStyle w:val="SemEspaamento"/>
        <w:jc w:val="both"/>
      </w:pPr>
    </w:p>
    <w:p w:rsidR="00902099" w:rsidRDefault="00256A68">
      <w:pPr>
        <w:pStyle w:val="SemEspaamento"/>
        <w:ind w:left="4535"/>
        <w:jc w:val="both"/>
        <w:rPr>
          <w:b/>
          <w:bCs/>
        </w:rPr>
      </w:pPr>
      <w:r>
        <w:rPr>
          <w:b/>
          <w:bCs/>
        </w:rPr>
        <w:t>Reajusta os valores dos subsídios dos Vereadores do Município de Piedade de Ponte Nova.</w:t>
      </w:r>
    </w:p>
    <w:p w:rsidR="00902099" w:rsidRDefault="00902099">
      <w:pPr>
        <w:pStyle w:val="SemEspaamento"/>
        <w:jc w:val="both"/>
      </w:pPr>
    </w:p>
    <w:p w:rsidR="00902099" w:rsidRDefault="00902099">
      <w:pPr>
        <w:pStyle w:val="SemEspaamento"/>
        <w:jc w:val="both"/>
      </w:pPr>
    </w:p>
    <w:p w:rsidR="00902099" w:rsidRDefault="00256A68">
      <w:pPr>
        <w:pStyle w:val="SemEspaamento"/>
        <w:jc w:val="both"/>
      </w:pPr>
      <w:r>
        <w:tab/>
        <w:t>A Câmara Municipal de Piedade de Ponte Nova aprovou e a Mesa Diretora promulga a seguinte Resolução:</w:t>
      </w:r>
    </w:p>
    <w:p w:rsidR="00902099" w:rsidRDefault="00902099">
      <w:pPr>
        <w:pStyle w:val="SemEspaamento"/>
        <w:jc w:val="both"/>
      </w:pPr>
    </w:p>
    <w:p w:rsidR="00902099" w:rsidRDefault="00256A68">
      <w:pPr>
        <w:jc w:val="both"/>
        <w:rPr>
          <w:rFonts w:ascii="Arial" w:hAnsi="Arial"/>
        </w:rPr>
      </w:pPr>
      <w:r>
        <w:rPr>
          <w:rFonts w:ascii="Arial" w:hAnsi="Arial" w:cs="Arial"/>
        </w:rPr>
        <w:tab/>
      </w:r>
      <w:r>
        <w:rPr>
          <w:rFonts w:ascii="Arial" w:hAnsi="Arial" w:cs="Arial"/>
          <w:b/>
          <w:bCs/>
        </w:rPr>
        <w:t>Art. 1º</w:t>
      </w:r>
      <w:r>
        <w:rPr>
          <w:rFonts w:ascii="Arial" w:hAnsi="Arial" w:cs="Arial"/>
        </w:rPr>
        <w:t xml:space="preserve"> Os subsídios dos</w:t>
      </w:r>
      <w:r>
        <w:rPr>
          <w:rFonts w:ascii="Arial" w:hAnsi="Arial" w:cs="Arial"/>
        </w:rPr>
        <w:t xml:space="preserve"> Vereadores ficam reajustados em 4,26% (quatro</w:t>
      </w:r>
      <w:r>
        <w:rPr>
          <w:rFonts w:ascii="Arial" w:eastAsia="Times New Roman" w:hAnsi="Arial" w:cs="Arial"/>
          <w:lang w:eastAsia="zh-CN"/>
        </w:rPr>
        <w:t xml:space="preserve"> inteiros e vinte e seis décimos</w:t>
      </w:r>
      <w:r>
        <w:rPr>
          <w:rFonts w:ascii="Arial" w:hAnsi="Arial" w:cs="Arial"/>
        </w:rPr>
        <w:t>), apurado pelo IPCA-IBGE para o período de 1º de janeiro a 31 de dezembro de 2025.</w:t>
      </w:r>
    </w:p>
    <w:p w:rsidR="00902099" w:rsidRDefault="00256A68">
      <w:pPr>
        <w:jc w:val="both"/>
        <w:rPr>
          <w:rFonts w:ascii="Arial" w:hAnsi="Arial"/>
        </w:rPr>
      </w:pPr>
      <w:r>
        <w:rPr>
          <w:rFonts w:ascii="Arial" w:hAnsi="Arial" w:cs="Arial"/>
        </w:rPr>
        <w:tab/>
      </w:r>
      <w:r>
        <w:rPr>
          <w:rFonts w:ascii="Arial" w:hAnsi="Arial" w:cs="Arial"/>
          <w:b/>
        </w:rPr>
        <w:t>Art. 2º</w:t>
      </w:r>
      <w:r>
        <w:rPr>
          <w:rFonts w:ascii="Arial" w:hAnsi="Arial" w:cs="Arial"/>
        </w:rPr>
        <w:t xml:space="preserve"> Esta Resolução entra em vigor na data de sua publicação, com efeitos financeiros retr</w:t>
      </w:r>
      <w:r>
        <w:rPr>
          <w:rFonts w:ascii="Arial" w:hAnsi="Arial" w:cs="Arial"/>
        </w:rPr>
        <w:t>oativos a 1º de janeiro de 202</w:t>
      </w:r>
      <w:r>
        <w:rPr>
          <w:rFonts w:ascii="Arial" w:eastAsia="Times New Roman" w:hAnsi="Arial" w:cs="Arial"/>
          <w:lang w:eastAsia="zh-CN"/>
        </w:rPr>
        <w:t>6</w:t>
      </w:r>
      <w:r>
        <w:rPr>
          <w:rFonts w:ascii="Arial" w:hAnsi="Arial" w:cs="Arial"/>
        </w:rPr>
        <w:t>.</w:t>
      </w:r>
    </w:p>
    <w:p w:rsidR="00902099" w:rsidRDefault="00902099">
      <w:pPr>
        <w:pStyle w:val="SemEspaamento"/>
        <w:jc w:val="both"/>
      </w:pPr>
    </w:p>
    <w:p w:rsidR="00902099" w:rsidRDefault="00256A68">
      <w:pPr>
        <w:pStyle w:val="SemEspaamento"/>
        <w:jc w:val="both"/>
      </w:pPr>
      <w:r>
        <w:tab/>
        <w:t>Piedade de Ponte Nova, 16 de janeiro de 2026.</w:t>
      </w:r>
    </w:p>
    <w:p w:rsidR="00902099" w:rsidRDefault="00902099">
      <w:pPr>
        <w:pStyle w:val="SemEspaamento"/>
        <w:jc w:val="both"/>
      </w:pPr>
    </w:p>
    <w:p w:rsidR="00902099" w:rsidRDefault="00902099">
      <w:pPr>
        <w:pStyle w:val="SemEspaamento"/>
        <w:jc w:val="both"/>
      </w:pPr>
    </w:p>
    <w:p w:rsidR="00902099" w:rsidRDefault="00902099">
      <w:pPr>
        <w:pStyle w:val="SemEspaamento"/>
        <w:jc w:val="both"/>
      </w:pPr>
    </w:p>
    <w:p w:rsidR="00902099" w:rsidRDefault="00902099">
      <w:pPr>
        <w:pStyle w:val="SemEspaamento"/>
        <w:jc w:val="both"/>
      </w:pPr>
    </w:p>
    <w:p w:rsidR="00902099" w:rsidRDefault="00902099">
      <w:pPr>
        <w:pStyle w:val="SemEspaamento"/>
        <w:jc w:val="both"/>
      </w:pPr>
    </w:p>
    <w:p w:rsidR="00902099" w:rsidRDefault="00256A68">
      <w:pPr>
        <w:pStyle w:val="SemEspaamento"/>
        <w:jc w:val="center"/>
        <w:rPr>
          <w:b/>
          <w:bCs/>
        </w:rPr>
      </w:pPr>
      <w:r>
        <w:rPr>
          <w:b/>
          <w:bCs/>
        </w:rPr>
        <w:t>Vereador Flávio Magalhães da Cruz</w:t>
      </w:r>
    </w:p>
    <w:p w:rsidR="00902099" w:rsidRDefault="00256A68">
      <w:pPr>
        <w:pStyle w:val="SemEspaamento"/>
        <w:jc w:val="center"/>
        <w:rPr>
          <w:b/>
          <w:bCs/>
        </w:rPr>
      </w:pPr>
      <w:r>
        <w:rPr>
          <w:b/>
          <w:bCs/>
        </w:rPr>
        <w:t>Presidente</w:t>
      </w:r>
    </w:p>
    <w:p w:rsidR="00902099" w:rsidRDefault="00902099">
      <w:pPr>
        <w:pStyle w:val="SemEspaamento"/>
        <w:jc w:val="center"/>
        <w:rPr>
          <w:b/>
          <w:bCs/>
        </w:rPr>
      </w:pPr>
    </w:p>
    <w:p w:rsidR="00902099" w:rsidRDefault="00902099">
      <w:pPr>
        <w:pStyle w:val="SemEspaamento"/>
        <w:jc w:val="center"/>
        <w:rPr>
          <w:b/>
          <w:bCs/>
        </w:rPr>
      </w:pPr>
    </w:p>
    <w:p w:rsidR="00902099" w:rsidRDefault="00902099">
      <w:pPr>
        <w:pStyle w:val="SemEspaamento"/>
        <w:jc w:val="center"/>
        <w:rPr>
          <w:b/>
          <w:bCs/>
        </w:rPr>
      </w:pPr>
    </w:p>
    <w:p w:rsidR="00902099" w:rsidRDefault="00256A68">
      <w:pPr>
        <w:pStyle w:val="SemEspaamento"/>
        <w:jc w:val="center"/>
        <w:rPr>
          <w:b/>
          <w:bCs/>
        </w:rPr>
      </w:pPr>
      <w:r>
        <w:rPr>
          <w:b/>
          <w:bCs/>
        </w:rPr>
        <w:t>Vereador Ramon Vieira da Veiga</w:t>
      </w:r>
    </w:p>
    <w:p w:rsidR="00902099" w:rsidRDefault="00256A68">
      <w:pPr>
        <w:pStyle w:val="SemEspaamento"/>
        <w:jc w:val="center"/>
        <w:rPr>
          <w:b/>
          <w:bCs/>
        </w:rPr>
      </w:pPr>
      <w:r>
        <w:rPr>
          <w:b/>
          <w:bCs/>
        </w:rPr>
        <w:t>Vice-Presidente</w:t>
      </w:r>
    </w:p>
    <w:p w:rsidR="00902099" w:rsidRDefault="00902099">
      <w:pPr>
        <w:pStyle w:val="SemEspaamento"/>
        <w:jc w:val="center"/>
        <w:rPr>
          <w:b/>
          <w:bCs/>
        </w:rPr>
      </w:pPr>
    </w:p>
    <w:p w:rsidR="00902099" w:rsidRDefault="00902099">
      <w:pPr>
        <w:pStyle w:val="SemEspaamento"/>
        <w:jc w:val="center"/>
        <w:rPr>
          <w:b/>
          <w:bCs/>
        </w:rPr>
      </w:pPr>
    </w:p>
    <w:p w:rsidR="00902099" w:rsidRDefault="00902099">
      <w:pPr>
        <w:pStyle w:val="SemEspaamento"/>
        <w:jc w:val="center"/>
        <w:rPr>
          <w:b/>
          <w:bCs/>
        </w:rPr>
      </w:pPr>
    </w:p>
    <w:p w:rsidR="00902099" w:rsidRDefault="00256A68">
      <w:pPr>
        <w:pStyle w:val="SemEspaamento"/>
        <w:jc w:val="center"/>
        <w:rPr>
          <w:b/>
          <w:bCs/>
        </w:rPr>
      </w:pPr>
      <w:r>
        <w:rPr>
          <w:b/>
          <w:bCs/>
        </w:rPr>
        <w:t>Vereador Euclides Rodger Moreira da Veiga</w:t>
      </w:r>
    </w:p>
    <w:p w:rsidR="00902099" w:rsidRDefault="00256A68">
      <w:pPr>
        <w:pStyle w:val="SemEspaamento"/>
        <w:jc w:val="center"/>
        <w:rPr>
          <w:b/>
          <w:bCs/>
        </w:rPr>
      </w:pPr>
      <w:r>
        <w:rPr>
          <w:b/>
          <w:bCs/>
        </w:rPr>
        <w:t>Secretário</w:t>
      </w:r>
    </w:p>
    <w:p w:rsidR="00902099" w:rsidRDefault="00902099">
      <w:pPr>
        <w:pStyle w:val="SemEspaamento"/>
        <w:jc w:val="both"/>
      </w:pPr>
    </w:p>
    <w:p w:rsidR="00902099" w:rsidRDefault="00902099">
      <w:pPr>
        <w:pStyle w:val="SemEspaamento"/>
        <w:jc w:val="both"/>
      </w:pPr>
    </w:p>
    <w:p w:rsidR="00902099" w:rsidRDefault="00902099">
      <w:pPr>
        <w:pStyle w:val="SemEspaamento"/>
        <w:jc w:val="both"/>
      </w:pPr>
    </w:p>
    <w:p w:rsidR="00902099" w:rsidRDefault="00902099">
      <w:pPr>
        <w:pStyle w:val="SemEspaamento"/>
        <w:jc w:val="both"/>
      </w:pPr>
    </w:p>
    <w:p w:rsidR="00902099" w:rsidRDefault="00902099">
      <w:pPr>
        <w:pStyle w:val="SemEspaamento"/>
        <w:jc w:val="both"/>
      </w:pPr>
    </w:p>
    <w:p w:rsidR="00902099" w:rsidRDefault="00902099">
      <w:pPr>
        <w:pStyle w:val="SemEspaamento"/>
        <w:jc w:val="both"/>
      </w:pPr>
    </w:p>
    <w:p w:rsidR="00902099" w:rsidRDefault="00902099">
      <w:pPr>
        <w:pStyle w:val="SemEspaamento"/>
        <w:jc w:val="both"/>
      </w:pPr>
    </w:p>
    <w:p w:rsidR="00902099" w:rsidRDefault="00902099">
      <w:pPr>
        <w:pStyle w:val="SemEspaamento"/>
        <w:jc w:val="both"/>
      </w:pPr>
    </w:p>
    <w:p w:rsidR="00902099" w:rsidRDefault="00902099">
      <w:pPr>
        <w:pStyle w:val="SemEspaamento"/>
        <w:jc w:val="both"/>
      </w:pPr>
    </w:p>
    <w:p w:rsidR="00902099" w:rsidRDefault="00902099">
      <w:pPr>
        <w:pStyle w:val="SemEspaamento"/>
        <w:jc w:val="both"/>
      </w:pPr>
    </w:p>
    <w:p w:rsidR="00902099" w:rsidRDefault="00902099">
      <w:pPr>
        <w:pStyle w:val="SemEspaamento"/>
        <w:jc w:val="both"/>
      </w:pPr>
    </w:p>
    <w:p w:rsidR="00902099" w:rsidRDefault="00902099">
      <w:pPr>
        <w:pStyle w:val="SemEspaamento"/>
        <w:jc w:val="both"/>
      </w:pPr>
    </w:p>
    <w:p w:rsidR="00902099" w:rsidRDefault="00902099">
      <w:pPr>
        <w:pStyle w:val="SemEspaamento"/>
        <w:jc w:val="both"/>
      </w:pPr>
    </w:p>
    <w:p w:rsidR="00902099" w:rsidRDefault="00256A68">
      <w:pPr>
        <w:pStyle w:val="SemEspaamento"/>
        <w:jc w:val="both"/>
        <w:rPr>
          <w:b/>
          <w:bCs/>
        </w:rPr>
      </w:pPr>
      <w:r>
        <w:rPr>
          <w:b/>
          <w:bCs/>
        </w:rPr>
        <w:t>JUSTIFICATIVA:</w:t>
      </w:r>
    </w:p>
    <w:p w:rsidR="00902099" w:rsidRDefault="00902099">
      <w:pPr>
        <w:pStyle w:val="SemEspaamento"/>
        <w:jc w:val="both"/>
      </w:pPr>
    </w:p>
    <w:p w:rsidR="00902099" w:rsidRDefault="00256A68">
      <w:pPr>
        <w:pStyle w:val="SemEspaamento"/>
        <w:jc w:val="both"/>
      </w:pPr>
      <w:r>
        <w:tab/>
      </w:r>
      <w:r>
        <w:rPr>
          <w:rFonts w:eastAsia="Times New Roman" w:cs="Times New Roman"/>
          <w:color w:val="000000"/>
          <w:lang w:eastAsia="pt-BR"/>
        </w:rPr>
        <w:t>Trata-se de projeto de lei visando a recomposição do valor dos subsídios dos agentes políticos municipais.</w:t>
      </w:r>
    </w:p>
    <w:p w:rsidR="00902099" w:rsidRDefault="00902099">
      <w:pPr>
        <w:spacing w:after="0" w:line="240" w:lineRule="auto"/>
        <w:rPr>
          <w:rFonts w:ascii="Arial" w:eastAsia="Times New Roman" w:hAnsi="Arial"/>
          <w:lang w:eastAsia="pt-BR"/>
        </w:rPr>
      </w:pPr>
    </w:p>
    <w:p w:rsidR="00902099" w:rsidRDefault="00256A68">
      <w:pPr>
        <w:spacing w:after="0" w:line="240" w:lineRule="auto"/>
        <w:jc w:val="both"/>
        <w:rPr>
          <w:rFonts w:ascii="Arial" w:hAnsi="Arial"/>
        </w:rPr>
      </w:pPr>
      <w:r>
        <w:rPr>
          <w:rFonts w:ascii="Arial" w:eastAsia="Times New Roman" w:hAnsi="Arial"/>
          <w:color w:val="000000"/>
          <w:lang w:eastAsia="pt-BR"/>
        </w:rPr>
        <w:tab/>
        <w:t>Inicialmente, deve-se ressaltar que entendimento mais moderno acerca da natureza jurídica dos subsídios dos agentes políticos é de</w:t>
      </w:r>
      <w:r>
        <w:rPr>
          <w:rFonts w:ascii="Arial" w:eastAsia="Times New Roman" w:hAnsi="Arial"/>
          <w:color w:val="000000"/>
          <w:lang w:eastAsia="pt-BR"/>
        </w:rPr>
        <w:t xml:space="preserve"> caráter alimentar, constituindo o próprio salário do vereador, vice-prefeito e demais agentes. Tanto o é que o STF já o declarou impenhorável (RE 15269/AL, DJ DATA-07-05-53).</w:t>
      </w:r>
    </w:p>
    <w:p w:rsidR="00902099" w:rsidRDefault="00902099">
      <w:pPr>
        <w:spacing w:after="0" w:line="240" w:lineRule="auto"/>
        <w:rPr>
          <w:rFonts w:ascii="Arial" w:eastAsia="Times New Roman" w:hAnsi="Arial"/>
          <w:lang w:eastAsia="pt-BR"/>
        </w:rPr>
      </w:pPr>
    </w:p>
    <w:p w:rsidR="00902099" w:rsidRDefault="00256A68">
      <w:pPr>
        <w:spacing w:after="0" w:line="240" w:lineRule="auto"/>
        <w:jc w:val="both"/>
        <w:rPr>
          <w:rFonts w:ascii="Arial" w:hAnsi="Arial"/>
        </w:rPr>
      </w:pPr>
      <w:r>
        <w:rPr>
          <w:rFonts w:ascii="Arial" w:eastAsia="Times New Roman" w:hAnsi="Arial"/>
          <w:color w:val="000000"/>
          <w:lang w:eastAsia="pt-BR"/>
        </w:rPr>
        <w:tab/>
        <w:t>O saudoso Prof. José Nilo de Castro também defendia a mesma doutrina:</w:t>
      </w:r>
    </w:p>
    <w:p w:rsidR="00902099" w:rsidRDefault="00902099">
      <w:pPr>
        <w:spacing w:after="0" w:line="240" w:lineRule="auto"/>
        <w:rPr>
          <w:rFonts w:ascii="Arial" w:eastAsia="Times New Roman" w:hAnsi="Arial"/>
          <w:lang w:eastAsia="pt-BR"/>
        </w:rPr>
      </w:pPr>
    </w:p>
    <w:p w:rsidR="00902099" w:rsidRDefault="00256A68">
      <w:pPr>
        <w:spacing w:after="0" w:line="240" w:lineRule="auto"/>
        <w:ind w:left="1984"/>
        <w:jc w:val="both"/>
        <w:rPr>
          <w:rFonts w:ascii="Arial" w:hAnsi="Arial"/>
          <w:sz w:val="20"/>
          <w:szCs w:val="20"/>
        </w:rPr>
      </w:pPr>
      <w:r>
        <w:rPr>
          <w:rFonts w:ascii="Arial" w:eastAsia="Times New Roman" w:hAnsi="Arial"/>
          <w:color w:val="000000"/>
          <w:sz w:val="20"/>
          <w:szCs w:val="20"/>
          <w:lang w:eastAsia="pt-BR"/>
        </w:rPr>
        <w:t xml:space="preserve">A </w:t>
      </w:r>
      <w:r>
        <w:rPr>
          <w:rFonts w:ascii="Arial" w:eastAsia="Times New Roman" w:hAnsi="Arial"/>
          <w:color w:val="000000"/>
          <w:sz w:val="20"/>
          <w:szCs w:val="20"/>
          <w:lang w:eastAsia="pt-BR"/>
        </w:rPr>
        <w:t>despeito das criticas que o princípio da remunerabilidade dos agentes políticos locais tem propiciado - não remunerar é tornar inelegíveis os mais pobres - a remuneração do Vereador, como a de todos os parlamentares, do Presidente da República, do Vice-Pre</w:t>
      </w:r>
      <w:r>
        <w:rPr>
          <w:rFonts w:ascii="Arial" w:eastAsia="Times New Roman" w:hAnsi="Arial"/>
          <w:color w:val="000000"/>
          <w:sz w:val="20"/>
          <w:szCs w:val="20"/>
          <w:lang w:eastAsia="pt-BR"/>
        </w:rPr>
        <w:t>sidente, dos Governadores, dos Vice-Governadores, dos Prefeitos e dos Vice-Prefeito, constitucionalizou-se como caráter alimentar. Daí a mudança terminológica na Constituição. (Direito Municipal Positivo, p. 88)</w:t>
      </w:r>
    </w:p>
    <w:p w:rsidR="00902099" w:rsidRDefault="00902099">
      <w:pPr>
        <w:spacing w:after="0" w:line="240" w:lineRule="auto"/>
        <w:rPr>
          <w:rFonts w:ascii="Arial" w:eastAsia="Times New Roman" w:hAnsi="Arial"/>
          <w:lang w:eastAsia="pt-BR"/>
        </w:rPr>
      </w:pPr>
    </w:p>
    <w:p w:rsidR="00902099" w:rsidRDefault="00256A68">
      <w:pPr>
        <w:spacing w:after="0" w:line="240" w:lineRule="auto"/>
        <w:jc w:val="both"/>
        <w:rPr>
          <w:rFonts w:ascii="Arial" w:hAnsi="Arial"/>
        </w:rPr>
      </w:pPr>
      <w:r>
        <w:rPr>
          <w:rFonts w:ascii="Arial" w:eastAsia="Times New Roman" w:hAnsi="Arial"/>
          <w:color w:val="000000"/>
          <w:lang w:eastAsia="pt-BR"/>
        </w:rPr>
        <w:tab/>
        <w:t>Assim é que, por ter caráter alimentar, ga</w:t>
      </w:r>
      <w:r>
        <w:rPr>
          <w:rFonts w:ascii="Arial" w:eastAsia="Times New Roman" w:hAnsi="Arial"/>
          <w:color w:val="000000"/>
          <w:lang w:eastAsia="pt-BR"/>
        </w:rPr>
        <w:t>rante-se a recomposição dos subsídios, anualmente, visando eliminar o efeito nocivo da perda do poder aquisitivo da moeda.</w:t>
      </w:r>
    </w:p>
    <w:p w:rsidR="00902099" w:rsidRDefault="00902099">
      <w:pPr>
        <w:spacing w:after="0" w:line="240" w:lineRule="auto"/>
        <w:rPr>
          <w:rFonts w:ascii="Arial" w:eastAsia="Times New Roman" w:hAnsi="Arial"/>
          <w:lang w:eastAsia="pt-BR"/>
        </w:rPr>
      </w:pPr>
    </w:p>
    <w:p w:rsidR="00902099" w:rsidRDefault="00256A68">
      <w:pPr>
        <w:spacing w:after="0" w:line="240" w:lineRule="auto"/>
        <w:jc w:val="both"/>
        <w:rPr>
          <w:rFonts w:ascii="Arial" w:hAnsi="Arial"/>
        </w:rPr>
      </w:pPr>
      <w:r>
        <w:rPr>
          <w:rFonts w:ascii="Arial" w:eastAsia="Times New Roman" w:hAnsi="Arial"/>
          <w:color w:val="000000"/>
          <w:lang w:eastAsia="pt-BR"/>
        </w:rPr>
        <w:tab/>
        <w:t>Há que se distinguir, contudo, recomposição de fixação dos subsídios.</w:t>
      </w:r>
    </w:p>
    <w:p w:rsidR="00902099" w:rsidRDefault="00902099">
      <w:pPr>
        <w:spacing w:after="0" w:line="240" w:lineRule="auto"/>
        <w:rPr>
          <w:rFonts w:ascii="Arial" w:eastAsia="Times New Roman" w:hAnsi="Arial"/>
          <w:lang w:eastAsia="pt-BR"/>
        </w:rPr>
      </w:pPr>
    </w:p>
    <w:p w:rsidR="00902099" w:rsidRDefault="00256A68">
      <w:pPr>
        <w:spacing w:after="0" w:line="240" w:lineRule="auto"/>
        <w:jc w:val="both"/>
        <w:rPr>
          <w:rFonts w:ascii="Arial" w:hAnsi="Arial"/>
        </w:rPr>
      </w:pPr>
      <w:r>
        <w:rPr>
          <w:rFonts w:ascii="Arial" w:eastAsia="Times New Roman" w:hAnsi="Arial"/>
          <w:color w:val="000000"/>
          <w:lang w:eastAsia="pt-BR"/>
        </w:rPr>
        <w:tab/>
        <w:t>É certo que o artigo 29, V, da Constituição Federal de 1988</w:t>
      </w:r>
      <w:r>
        <w:rPr>
          <w:rFonts w:ascii="Arial" w:eastAsia="Times New Roman" w:hAnsi="Arial"/>
          <w:color w:val="000000"/>
          <w:lang w:eastAsia="pt-BR"/>
        </w:rPr>
        <w:t>, em sua redação vigente na época, antes da alteração perpetrada pela Emenda Constitucional 19, determinava:</w:t>
      </w:r>
    </w:p>
    <w:p w:rsidR="00902099" w:rsidRDefault="00902099">
      <w:pPr>
        <w:spacing w:after="0" w:line="240" w:lineRule="auto"/>
        <w:jc w:val="both"/>
        <w:rPr>
          <w:rFonts w:ascii="Arial" w:eastAsia="Times New Roman" w:hAnsi="Arial"/>
          <w:lang w:eastAsia="pt-BR"/>
        </w:rPr>
      </w:pPr>
    </w:p>
    <w:p w:rsidR="00902099" w:rsidRDefault="00256A68">
      <w:pPr>
        <w:spacing w:after="0" w:line="240" w:lineRule="auto"/>
        <w:ind w:left="1984"/>
        <w:jc w:val="both"/>
        <w:rPr>
          <w:rFonts w:ascii="Arial" w:hAnsi="Arial"/>
        </w:rPr>
      </w:pPr>
      <w:r>
        <w:rPr>
          <w:rFonts w:ascii="Arial" w:eastAsia="Times New Roman" w:hAnsi="Arial"/>
          <w:color w:val="000000"/>
          <w:lang w:eastAsia="pt-BR"/>
        </w:rPr>
        <w:t>“Art. 29.</w:t>
      </w:r>
    </w:p>
    <w:p w:rsidR="00902099" w:rsidRDefault="00256A68">
      <w:pPr>
        <w:spacing w:after="0" w:line="240" w:lineRule="auto"/>
        <w:ind w:left="1984"/>
        <w:jc w:val="both"/>
        <w:rPr>
          <w:rFonts w:ascii="Arial" w:hAnsi="Arial"/>
        </w:rPr>
      </w:pPr>
      <w:r>
        <w:rPr>
          <w:rFonts w:ascii="Arial" w:eastAsia="Times New Roman" w:hAnsi="Arial"/>
          <w:color w:val="000000"/>
          <w:lang w:eastAsia="pt-BR"/>
        </w:rPr>
        <w:t>(...)</w:t>
      </w:r>
    </w:p>
    <w:p w:rsidR="00902099" w:rsidRDefault="00256A68">
      <w:pPr>
        <w:spacing w:after="0" w:line="240" w:lineRule="auto"/>
        <w:ind w:left="1984"/>
        <w:jc w:val="both"/>
        <w:rPr>
          <w:rFonts w:ascii="Arial" w:hAnsi="Arial"/>
        </w:rPr>
      </w:pPr>
      <w:r>
        <w:rPr>
          <w:rFonts w:ascii="Arial" w:eastAsia="Times New Roman" w:hAnsi="Arial"/>
          <w:color w:val="000000"/>
          <w:lang w:eastAsia="pt-BR"/>
        </w:rPr>
        <w:t>V – remuneração do Prefeito, do Vice-Prefeito e dos Vereadores fixada pela Câmara Municipal em cada legislatura, para a subsequent</w:t>
      </w:r>
      <w:r>
        <w:rPr>
          <w:rFonts w:ascii="Arial" w:eastAsia="Times New Roman" w:hAnsi="Arial"/>
          <w:color w:val="000000"/>
          <w:lang w:eastAsia="pt-BR"/>
        </w:rPr>
        <w:t>e, observando o que dispõem os arts. 37, XI, 150,II, 153,III, e 153 §2°, I.”</w:t>
      </w:r>
    </w:p>
    <w:p w:rsidR="00902099" w:rsidRDefault="00902099">
      <w:pPr>
        <w:spacing w:after="0" w:line="240" w:lineRule="auto"/>
        <w:rPr>
          <w:rFonts w:ascii="Arial" w:eastAsia="Times New Roman" w:hAnsi="Arial"/>
          <w:lang w:eastAsia="pt-BR"/>
        </w:rPr>
      </w:pPr>
    </w:p>
    <w:p w:rsidR="00902099" w:rsidRDefault="00256A68">
      <w:pPr>
        <w:spacing w:after="0" w:line="240" w:lineRule="auto"/>
        <w:jc w:val="both"/>
        <w:rPr>
          <w:rFonts w:ascii="Arial" w:hAnsi="Arial"/>
        </w:rPr>
      </w:pPr>
      <w:r>
        <w:rPr>
          <w:rFonts w:ascii="Arial" w:eastAsia="Times New Roman" w:hAnsi="Arial"/>
          <w:color w:val="000000"/>
          <w:lang w:eastAsia="pt-BR"/>
        </w:rPr>
        <w:tab/>
        <w:t>No entanto, visando amenizar os efeitos inflacionários os Tribunais de Contas dos Estados autorizam o reajuste dos vencimentos dos agentes públicos, de forma a equilibrar o pode</w:t>
      </w:r>
      <w:r>
        <w:rPr>
          <w:rFonts w:ascii="Arial" w:eastAsia="Times New Roman" w:hAnsi="Arial"/>
          <w:color w:val="000000"/>
          <w:lang w:eastAsia="pt-BR"/>
        </w:rPr>
        <w:t>r aquisitivo dos subsídios frente a desvalorização do valor da moeda, constantes nos períodos de inflação.</w:t>
      </w:r>
    </w:p>
    <w:p w:rsidR="00902099" w:rsidRDefault="00902099">
      <w:pPr>
        <w:spacing w:after="0" w:line="240" w:lineRule="auto"/>
        <w:rPr>
          <w:rFonts w:ascii="Arial" w:eastAsia="Times New Roman" w:hAnsi="Arial"/>
          <w:lang w:eastAsia="pt-BR"/>
        </w:rPr>
      </w:pPr>
    </w:p>
    <w:p w:rsidR="00902099" w:rsidRDefault="00256A68">
      <w:pPr>
        <w:spacing w:after="0" w:line="240" w:lineRule="auto"/>
        <w:jc w:val="both"/>
        <w:rPr>
          <w:rFonts w:ascii="Arial" w:hAnsi="Arial"/>
        </w:rPr>
      </w:pPr>
      <w:r>
        <w:rPr>
          <w:rFonts w:ascii="Arial" w:eastAsia="Times New Roman" w:hAnsi="Arial"/>
          <w:color w:val="000000"/>
          <w:lang w:eastAsia="pt-BR"/>
        </w:rPr>
        <w:tab/>
        <w:t>Ressalta-se também que a própria Constituição do Estado de Minas Gerais prevê a possibilidade de que os subsídios tenham seus valores atualizados p</w:t>
      </w:r>
      <w:r>
        <w:rPr>
          <w:rFonts w:ascii="Arial" w:eastAsia="Times New Roman" w:hAnsi="Arial"/>
          <w:color w:val="000000"/>
          <w:lang w:eastAsia="pt-BR"/>
        </w:rPr>
        <w:t>ara uma mesma legislatura, em seu artigo 179, parágrafo único.</w:t>
      </w:r>
    </w:p>
    <w:p w:rsidR="00902099" w:rsidRDefault="00902099">
      <w:pPr>
        <w:spacing w:after="0" w:line="240" w:lineRule="auto"/>
        <w:rPr>
          <w:rFonts w:ascii="Arial" w:eastAsia="Times New Roman" w:hAnsi="Arial"/>
          <w:lang w:eastAsia="pt-BR"/>
        </w:rPr>
      </w:pPr>
    </w:p>
    <w:p w:rsidR="00902099" w:rsidRDefault="00256A68">
      <w:pPr>
        <w:spacing w:after="0" w:line="240" w:lineRule="auto"/>
        <w:jc w:val="both"/>
        <w:rPr>
          <w:rFonts w:ascii="Arial" w:hAnsi="Arial"/>
        </w:rPr>
      </w:pPr>
      <w:r>
        <w:rPr>
          <w:rFonts w:ascii="Arial" w:eastAsia="Times New Roman" w:hAnsi="Arial"/>
          <w:color w:val="000000"/>
          <w:lang w:eastAsia="pt-BR"/>
        </w:rPr>
        <w:tab/>
        <w:t>Nestes termos, é o art. 179 da Constituição Federal:</w:t>
      </w:r>
    </w:p>
    <w:p w:rsidR="00902099" w:rsidRDefault="00902099">
      <w:pPr>
        <w:spacing w:after="0" w:line="240" w:lineRule="auto"/>
        <w:rPr>
          <w:rFonts w:ascii="Arial" w:eastAsia="Times New Roman" w:hAnsi="Arial"/>
          <w:lang w:eastAsia="pt-BR"/>
        </w:rPr>
      </w:pPr>
    </w:p>
    <w:p w:rsidR="00902099" w:rsidRDefault="00256A68">
      <w:pPr>
        <w:spacing w:after="0" w:line="240" w:lineRule="auto"/>
        <w:ind w:left="1928"/>
        <w:jc w:val="both"/>
        <w:rPr>
          <w:rFonts w:ascii="Arial" w:hAnsi="Arial"/>
          <w:sz w:val="20"/>
          <w:szCs w:val="20"/>
        </w:rPr>
      </w:pPr>
      <w:r>
        <w:rPr>
          <w:rFonts w:ascii="Arial" w:eastAsia="Times New Roman" w:hAnsi="Arial"/>
          <w:color w:val="000000"/>
          <w:sz w:val="20"/>
          <w:szCs w:val="20"/>
          <w:lang w:eastAsia="pt-BR"/>
        </w:rPr>
        <w:t>Art. 179 - A remuneração do Prefeito, do Vice-Prefeito e do Vereador será fixada, em cada legislatura, para a subsequente, pela Câmara Mu</w:t>
      </w:r>
      <w:r>
        <w:rPr>
          <w:rFonts w:ascii="Arial" w:eastAsia="Times New Roman" w:hAnsi="Arial"/>
          <w:color w:val="000000"/>
          <w:sz w:val="20"/>
          <w:szCs w:val="20"/>
          <w:lang w:eastAsia="pt-BR"/>
        </w:rPr>
        <w:t>nicipal.</w:t>
      </w:r>
    </w:p>
    <w:p w:rsidR="00902099" w:rsidRDefault="00256A68">
      <w:pPr>
        <w:spacing w:after="0" w:line="240" w:lineRule="auto"/>
        <w:ind w:left="1928"/>
        <w:jc w:val="both"/>
        <w:rPr>
          <w:rFonts w:ascii="Arial" w:hAnsi="Arial"/>
          <w:sz w:val="20"/>
          <w:szCs w:val="20"/>
        </w:rPr>
      </w:pPr>
      <w:r>
        <w:rPr>
          <w:rFonts w:ascii="Arial" w:eastAsia="Times New Roman" w:hAnsi="Arial"/>
          <w:color w:val="000000"/>
          <w:sz w:val="20"/>
          <w:szCs w:val="20"/>
          <w:lang w:eastAsia="pt-BR"/>
        </w:rPr>
        <w:t>Parágrafo único - Na hipótese de a Câmara Municipal deixar de exercer a competência de que trata este artigo, ficarão mantidos, na legislatura subsequente, os critérios de remuneração vigentes em dezembro do último exercício da legislatura anterio</w:t>
      </w:r>
      <w:r>
        <w:rPr>
          <w:rFonts w:ascii="Arial" w:eastAsia="Times New Roman" w:hAnsi="Arial"/>
          <w:color w:val="000000"/>
          <w:sz w:val="20"/>
          <w:szCs w:val="20"/>
          <w:lang w:eastAsia="pt-BR"/>
        </w:rPr>
        <w:t>r, admitida apenas a atualização dos valores.</w:t>
      </w:r>
    </w:p>
    <w:p w:rsidR="00902099" w:rsidRDefault="00902099">
      <w:pPr>
        <w:spacing w:after="0" w:line="240" w:lineRule="auto"/>
        <w:rPr>
          <w:rFonts w:ascii="Arial" w:eastAsia="Times New Roman" w:hAnsi="Arial"/>
          <w:lang w:eastAsia="pt-BR"/>
        </w:rPr>
      </w:pPr>
    </w:p>
    <w:p w:rsidR="00902099" w:rsidRDefault="00256A68">
      <w:pPr>
        <w:spacing w:after="0" w:line="240" w:lineRule="auto"/>
        <w:jc w:val="both"/>
        <w:rPr>
          <w:rFonts w:ascii="Arial" w:hAnsi="Arial"/>
        </w:rPr>
      </w:pPr>
      <w:r>
        <w:rPr>
          <w:rFonts w:ascii="Arial" w:eastAsia="Times New Roman" w:hAnsi="Arial"/>
          <w:color w:val="000000"/>
          <w:lang w:eastAsia="pt-BR"/>
        </w:rPr>
        <w:tab/>
        <w:t>A propósito, o Tribunal de Contas de Minas Gerais já editou a Súmula 73, nos seguintes termos:</w:t>
      </w:r>
    </w:p>
    <w:p w:rsidR="00902099" w:rsidRDefault="00902099">
      <w:pPr>
        <w:spacing w:after="0" w:line="240" w:lineRule="auto"/>
        <w:rPr>
          <w:rFonts w:ascii="Arial" w:eastAsia="Times New Roman" w:hAnsi="Arial"/>
          <w:lang w:eastAsia="pt-BR"/>
        </w:rPr>
      </w:pPr>
    </w:p>
    <w:p w:rsidR="00902099" w:rsidRDefault="00256A68">
      <w:pPr>
        <w:spacing w:after="0" w:line="240" w:lineRule="auto"/>
        <w:ind w:left="1984"/>
        <w:jc w:val="both"/>
        <w:rPr>
          <w:rFonts w:ascii="Arial" w:hAnsi="Arial"/>
          <w:sz w:val="20"/>
          <w:szCs w:val="20"/>
        </w:rPr>
      </w:pPr>
      <w:r>
        <w:rPr>
          <w:rFonts w:ascii="Arial" w:eastAsia="Times New Roman" w:hAnsi="Arial"/>
          <w:color w:val="000000"/>
          <w:sz w:val="20"/>
          <w:szCs w:val="20"/>
          <w:lang w:eastAsia="pt-BR"/>
        </w:rPr>
        <w:t>“No curso da legislatura, não está vedada a recomposição dos ganhos, em espécie, devida aos agentes políticos, t</w:t>
      </w:r>
      <w:r>
        <w:rPr>
          <w:rFonts w:ascii="Arial" w:eastAsia="Times New Roman" w:hAnsi="Arial"/>
          <w:color w:val="000000"/>
          <w:sz w:val="20"/>
          <w:szCs w:val="20"/>
          <w:lang w:eastAsia="pt-BR"/>
        </w:rPr>
        <w:t>endo em vista a perda do valor aquisitivo da moeda, devendo ser observados na fixação do subsídio, a incidência de índice oficial de recomposição do valor da moeda, o período mínimo de um ano para revisão e os critérios e limites impostos na Constituição F</w:t>
      </w:r>
      <w:r>
        <w:rPr>
          <w:rFonts w:ascii="Arial" w:eastAsia="Times New Roman" w:hAnsi="Arial"/>
          <w:color w:val="000000"/>
          <w:sz w:val="20"/>
          <w:szCs w:val="20"/>
          <w:lang w:eastAsia="pt-BR"/>
        </w:rPr>
        <w:t>ederal e legislação infraconstitucional.”</w:t>
      </w:r>
    </w:p>
    <w:p w:rsidR="00902099" w:rsidRDefault="00902099">
      <w:pPr>
        <w:spacing w:after="0" w:line="240" w:lineRule="auto"/>
        <w:rPr>
          <w:rFonts w:ascii="Arial" w:eastAsia="Times New Roman" w:hAnsi="Arial"/>
          <w:lang w:eastAsia="pt-BR"/>
        </w:rPr>
      </w:pPr>
    </w:p>
    <w:p w:rsidR="00902099" w:rsidRDefault="00256A68">
      <w:pPr>
        <w:spacing w:after="0" w:line="240" w:lineRule="auto"/>
        <w:jc w:val="both"/>
        <w:rPr>
          <w:rFonts w:ascii="Arial" w:hAnsi="Arial"/>
        </w:rPr>
      </w:pPr>
      <w:r>
        <w:rPr>
          <w:rFonts w:ascii="Arial" w:eastAsia="Times New Roman" w:hAnsi="Arial"/>
          <w:color w:val="000000"/>
          <w:lang w:eastAsia="pt-BR"/>
        </w:rPr>
        <w:tab/>
        <w:t>Sobre o assunto, importante são as lições de Hely Lopes Meirelles:</w:t>
      </w:r>
    </w:p>
    <w:p w:rsidR="00902099" w:rsidRDefault="00902099">
      <w:pPr>
        <w:spacing w:after="0" w:line="240" w:lineRule="auto"/>
        <w:rPr>
          <w:rFonts w:ascii="Arial" w:eastAsia="Times New Roman" w:hAnsi="Arial"/>
          <w:lang w:eastAsia="pt-BR"/>
        </w:rPr>
      </w:pPr>
    </w:p>
    <w:p w:rsidR="00902099" w:rsidRDefault="00256A68">
      <w:pPr>
        <w:spacing w:after="0" w:line="240" w:lineRule="auto"/>
        <w:ind w:left="1984"/>
        <w:jc w:val="both"/>
        <w:rPr>
          <w:rFonts w:ascii="Arial" w:hAnsi="Arial"/>
          <w:sz w:val="20"/>
          <w:szCs w:val="20"/>
        </w:rPr>
      </w:pPr>
      <w:r>
        <w:rPr>
          <w:rFonts w:ascii="Arial" w:eastAsia="Times New Roman" w:hAnsi="Arial"/>
          <w:color w:val="000000"/>
          <w:sz w:val="20"/>
          <w:szCs w:val="20"/>
          <w:lang w:eastAsia="pt-BR"/>
        </w:rPr>
        <w:t xml:space="preserve">“A economia inflacionária de nosso País não permite a fixação de remuneração, quer dos agentes políticos, quer dos servidores públicos, em </w:t>
      </w:r>
      <w:r>
        <w:rPr>
          <w:rFonts w:ascii="Arial" w:eastAsia="Times New Roman" w:hAnsi="Arial"/>
          <w:color w:val="000000"/>
          <w:sz w:val="20"/>
          <w:szCs w:val="20"/>
          <w:lang w:eastAsia="pt-BR"/>
        </w:rPr>
        <w:t>quantias fixas. Assim, de há muito, se admite a fixação em valor corrigido mensalmente, com base em índice oficial de atualização financeira, sem nenhuma ofensa ao princípio da inalterabilidade da remuneração no decorrer do mandato.” (Direito Municipal Bra</w:t>
      </w:r>
      <w:r>
        <w:rPr>
          <w:rFonts w:ascii="Arial" w:eastAsia="Times New Roman" w:hAnsi="Arial"/>
          <w:color w:val="000000"/>
          <w:sz w:val="20"/>
          <w:szCs w:val="20"/>
          <w:lang w:eastAsia="pt-BR"/>
        </w:rPr>
        <w:t>sileiro, p. 530).</w:t>
      </w:r>
    </w:p>
    <w:p w:rsidR="00902099" w:rsidRDefault="00256A68">
      <w:pPr>
        <w:spacing w:after="240" w:line="240" w:lineRule="auto"/>
        <w:jc w:val="both"/>
        <w:rPr>
          <w:rFonts w:ascii="Arial" w:hAnsi="Arial"/>
        </w:rPr>
      </w:pPr>
      <w:r>
        <w:rPr>
          <w:rFonts w:ascii="Arial" w:eastAsia="Times New Roman" w:hAnsi="Arial"/>
          <w:lang w:eastAsia="pt-BR"/>
        </w:rPr>
        <w:br/>
      </w:r>
      <w:r>
        <w:rPr>
          <w:rFonts w:ascii="Arial" w:eastAsia="Times New Roman" w:hAnsi="Arial"/>
          <w:color w:val="000000"/>
          <w:lang w:eastAsia="pt-BR"/>
        </w:rPr>
        <w:tab/>
        <w:t>A fixação dos novos valores dos subsídios, deve ser feita pela legislatura anterior, visando garantir o respeito ao princípio da impessoalidade na votação da matéria. Lado outro, admite-se a mera recomposição, pelo índice oficial de inf</w:t>
      </w:r>
      <w:r>
        <w:rPr>
          <w:rFonts w:ascii="Arial" w:eastAsia="Times New Roman" w:hAnsi="Arial"/>
          <w:color w:val="000000"/>
          <w:lang w:eastAsia="pt-BR"/>
        </w:rPr>
        <w:t>lação, para corrigir a perda do poder aquisitivo pela inflação.</w:t>
      </w:r>
    </w:p>
    <w:p w:rsidR="00902099" w:rsidRDefault="00256A68">
      <w:pPr>
        <w:spacing w:after="0" w:line="240" w:lineRule="auto"/>
        <w:jc w:val="both"/>
        <w:rPr>
          <w:rFonts w:ascii="Arial" w:hAnsi="Arial"/>
        </w:rPr>
      </w:pPr>
      <w:r>
        <w:rPr>
          <w:rFonts w:ascii="Arial" w:eastAsia="Times New Roman" w:hAnsi="Arial"/>
          <w:color w:val="000000"/>
          <w:lang w:eastAsia="pt-BR"/>
        </w:rPr>
        <w:tab/>
        <w:t>Deste modo, nada há de ilegal na matéria do projeto de lei em pauta, uma vez que simplesmente trata de correção dos valores dos subsídios recebidos pelos agentes políticos, considerando que o</w:t>
      </w:r>
      <w:r>
        <w:rPr>
          <w:rFonts w:ascii="Arial" w:eastAsia="Times New Roman" w:hAnsi="Arial"/>
          <w:color w:val="000000"/>
          <w:lang w:eastAsia="pt-BR"/>
        </w:rPr>
        <w:t xml:space="preserve"> último reajuste ocorreu há mais de doze meses.</w:t>
      </w:r>
    </w:p>
    <w:p w:rsidR="00902099" w:rsidRDefault="00902099">
      <w:pPr>
        <w:spacing w:after="0" w:line="240" w:lineRule="auto"/>
        <w:rPr>
          <w:rFonts w:ascii="Arial" w:eastAsia="Times New Roman" w:hAnsi="Arial"/>
          <w:lang w:eastAsia="pt-BR"/>
        </w:rPr>
      </w:pPr>
    </w:p>
    <w:p w:rsidR="00902099" w:rsidRDefault="00256A68">
      <w:pPr>
        <w:spacing w:after="0" w:line="240" w:lineRule="auto"/>
        <w:jc w:val="both"/>
        <w:rPr>
          <w:rFonts w:ascii="Arial" w:hAnsi="Arial"/>
        </w:rPr>
      </w:pPr>
      <w:r>
        <w:rPr>
          <w:rFonts w:ascii="Arial" w:eastAsia="Times New Roman" w:hAnsi="Arial"/>
          <w:color w:val="000000"/>
          <w:lang w:eastAsia="pt-BR"/>
        </w:rPr>
        <w:tab/>
        <w:t>Como visto, a correção monetária dos subsídios não é ilegal sendo feita para vigorar na mesma legislatura, uma vez que não trata de acréscimo da remuneração, mas tão somente compensação das perdas inflacion</w:t>
      </w:r>
      <w:r>
        <w:rPr>
          <w:rFonts w:ascii="Arial" w:eastAsia="Times New Roman" w:hAnsi="Arial"/>
          <w:color w:val="000000"/>
          <w:lang w:eastAsia="pt-BR"/>
        </w:rPr>
        <w:t>árias, tendo-se em vista que os vereadores da legislatura anterior não fixaram os novos valores.</w:t>
      </w:r>
    </w:p>
    <w:p w:rsidR="00902099" w:rsidRDefault="00902099">
      <w:pPr>
        <w:spacing w:after="0" w:line="240" w:lineRule="auto"/>
        <w:ind w:firstLine="709"/>
        <w:jc w:val="both"/>
        <w:rPr>
          <w:rFonts w:ascii="Arial" w:eastAsia="Times New Roman" w:hAnsi="Arial"/>
          <w:color w:val="000000"/>
          <w:lang w:eastAsia="pt-BR"/>
        </w:rPr>
      </w:pPr>
    </w:p>
    <w:p w:rsidR="00902099" w:rsidRDefault="00256A68">
      <w:pPr>
        <w:spacing w:after="0" w:line="240" w:lineRule="auto"/>
        <w:jc w:val="both"/>
        <w:rPr>
          <w:rFonts w:ascii="Arial" w:hAnsi="Arial"/>
        </w:rPr>
      </w:pPr>
      <w:r>
        <w:rPr>
          <w:rFonts w:ascii="Arial" w:eastAsia="Times New Roman" w:hAnsi="Arial"/>
          <w:color w:val="000000"/>
          <w:lang w:eastAsia="pt-BR"/>
        </w:rPr>
        <w:tab/>
      </w:r>
      <w:bookmarkStart w:id="1" w:name="_GoBack1"/>
      <w:r>
        <w:rPr>
          <w:rFonts w:ascii="Arial" w:eastAsia="Times New Roman" w:hAnsi="Arial"/>
          <w:color w:val="000000"/>
          <w:lang w:eastAsia="pt-BR"/>
        </w:rPr>
        <w:t>Além da observância da competência e da iniciativa, o projeto atende aos requisitos de natureza financeira</w:t>
      </w:r>
      <w:bookmarkEnd w:id="1"/>
      <w:r>
        <w:rPr>
          <w:rFonts w:ascii="Arial" w:eastAsia="Times New Roman" w:hAnsi="Arial"/>
          <w:color w:val="000000"/>
          <w:lang w:eastAsia="pt-BR"/>
        </w:rPr>
        <w:t>, pois não objetiva a concessão de aumento real aos</w:t>
      </w:r>
      <w:r>
        <w:rPr>
          <w:rFonts w:ascii="Arial" w:eastAsia="Times New Roman" w:hAnsi="Arial"/>
          <w:color w:val="000000"/>
          <w:lang w:eastAsia="pt-BR"/>
        </w:rPr>
        <w:t xml:space="preserve"> agentes políticos, o que dispensa o cumprimento de requisitos de natureza orçamentária, previstos no artigo 169, § 1º, da CF/88 e nos artigos 17, 20 e 22 da Lei de Responsabilidade Fiscal.</w:t>
      </w:r>
    </w:p>
    <w:p w:rsidR="00902099" w:rsidRDefault="00902099">
      <w:pPr>
        <w:spacing w:after="0" w:line="240" w:lineRule="auto"/>
        <w:jc w:val="both"/>
        <w:rPr>
          <w:rFonts w:ascii="Arial" w:hAnsi="Arial"/>
        </w:rPr>
      </w:pPr>
    </w:p>
    <w:p w:rsidR="00902099" w:rsidRDefault="00256A68">
      <w:pPr>
        <w:spacing w:after="0" w:line="240" w:lineRule="auto"/>
        <w:ind w:firstLine="709"/>
        <w:jc w:val="both"/>
        <w:rPr>
          <w:rFonts w:ascii="Arial" w:hAnsi="Arial"/>
        </w:rPr>
      </w:pPr>
      <w:r>
        <w:rPr>
          <w:rFonts w:ascii="Arial" w:eastAsia="Times New Roman" w:hAnsi="Arial"/>
          <w:color w:val="000000"/>
          <w:kern w:val="2"/>
          <w:lang w:eastAsia="pt-BR" w:bidi="hi-IN"/>
        </w:rPr>
        <w:t>Portanto, as formalidades incidentes ao processo legislativo fora</w:t>
      </w:r>
      <w:r>
        <w:rPr>
          <w:rFonts w:ascii="Arial" w:eastAsia="Times New Roman" w:hAnsi="Arial"/>
          <w:color w:val="000000"/>
          <w:kern w:val="2"/>
          <w:lang w:eastAsia="pt-BR" w:bidi="hi-IN"/>
        </w:rPr>
        <w:t>m atendidas no caso em tela.</w:t>
      </w:r>
    </w:p>
    <w:sectPr w:rsidR="00902099">
      <w:headerReference w:type="even" r:id="rId7"/>
      <w:headerReference w:type="default" r:id="rId8"/>
      <w:footerReference w:type="even" r:id="rId9"/>
      <w:footerReference w:type="default" r:id="rId10"/>
      <w:headerReference w:type="first" r:id="rId11"/>
      <w:footerReference w:type="first" r:id="rId12"/>
      <w:pgSz w:w="11906" w:h="16838"/>
      <w:pgMar w:top="2819" w:right="1701" w:bottom="1498" w:left="1701" w:header="567"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A68" w:rsidRDefault="00256A68">
      <w:pPr>
        <w:spacing w:after="0" w:line="240" w:lineRule="auto"/>
      </w:pPr>
      <w:r>
        <w:separator/>
      </w:r>
    </w:p>
  </w:endnote>
  <w:endnote w:type="continuationSeparator" w:id="0">
    <w:p w:rsidR="00256A68" w:rsidRDefault="0025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099" w:rsidRDefault="0090209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099" w:rsidRDefault="0090209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099" w:rsidRDefault="009020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A68" w:rsidRDefault="00256A68">
      <w:pPr>
        <w:spacing w:after="0" w:line="240" w:lineRule="auto"/>
      </w:pPr>
      <w:r>
        <w:separator/>
      </w:r>
    </w:p>
  </w:footnote>
  <w:footnote w:type="continuationSeparator" w:id="0">
    <w:p w:rsidR="00256A68" w:rsidRDefault="00256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099" w:rsidRDefault="0090209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0" w:type="dxa"/>
        <w:right w:w="0" w:type="dxa"/>
      </w:tblCellMar>
      <w:tblLook w:val="04A0" w:firstRow="1" w:lastRow="0" w:firstColumn="1" w:lastColumn="0" w:noHBand="0" w:noVBand="1"/>
    </w:tblPr>
    <w:tblGrid>
      <w:gridCol w:w="1761"/>
      <w:gridCol w:w="6743"/>
    </w:tblGrid>
    <w:tr w:rsidR="00902099">
      <w:trPr>
        <w:trHeight w:val="1463"/>
      </w:trPr>
      <w:tc>
        <w:tcPr>
          <w:tcW w:w="1761" w:type="dxa"/>
        </w:tcPr>
        <w:p w:rsidR="00902099" w:rsidRDefault="00932AE3">
          <w:pPr>
            <w:pStyle w:val="Contedodatabelauser"/>
          </w:pPr>
          <w:r>
            <w:rPr>
              <w:noProof/>
              <w:lang w:eastAsia="pt-BR"/>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 name="_x0000_tole_rId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13023" id="_x0000_tole_rId1"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LhXQIAALEEAAAOAAAAZHJzL2Uyb0RvYy54bWysVMFu2zAMvQ/YPwi6p7ZTJ02NOkURN0OB&#10;bivQ7VwokhwLs0VNUuJ0xf59lJxk6XoZhvngiCL9+MhH5up617VkK61ToEuanaWUSM1BKL0u6dcv&#10;y9GMEueZFqwFLUv6LB29nr9/d9WbQo6hgVZISxBEu6I3JW28N0WSON7IjrkzMFKjswbbMY+mXSfC&#10;sh7RuzYZp+k06cEKY4FL5/C2Gpx0HvHrWnL/ua6d9KQtKXLz8W3jexXeyfyKFWvLTKP4ngb7BxYd&#10;UxqTHqEq5hnZWPUGqlPcgoPan3HoEqhrxWWsAavJ0j+qeWyYkbEWbI4zxza5/wfLP20fLFGipBNK&#10;NOtQoqddis+Th1Y+2TuRUdIoIWSQN7SrN67Arx7Ngw0FO3MP/JsjGh5li+0OUWgsGqbX8saZN1fW&#10;Qt9IJrCIiJe8AgyGQ2iy6j+CQDZs4yF2dlfbLiTEnpFdFPD5KKDcecLxcno+QeqUcHTtz8g4YcXh&#10;Y2Od/yChI+FQUovsIjjb3js/hB5CQi4NS9W2cUYwBYaEy5AsSvtymV7ezm5n+SgfT29HeVpVo5vl&#10;Ih9Nl9nFpDqvFosq+xnws7wYehjgDmOW5X8n437ghwE5DpqDVokAFyg5u14tWku2DMd8GZ8gFRZ+&#10;Epa8phHdWMvhN1YXxQj9H3RegXhGLSxgr7CtuOd4aMD+oKTHnSmp+75hVlLS3mnU8zLL87Bk0cgn&#10;F2M07KlndephmiNUST0lw3Hhh8XcGKvWDWbKojYabnAGahX1CfMxsELewcC9iBXsdzgs3qkdo37/&#10;08x/AQ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KMMUuFdAgAAsQQAAA4AAAAAAAAAAAAAAAAALgIAAGRycy9lMm9Eb2MueG1sUEsB&#10;Ai0AFAAGAAgAAAAhAIZbh9XYAAAABQEAAA8AAAAAAAAAAAAAAAAAtwQAAGRycy9kb3ducmV2Lnht&#10;bFBLBQYAAAAABAAEAPMAAAC8BQAAAAA=&#10;" filled="f" stroked="f">
                    <o:lock v:ext="edit" aspectratio="t" selection="t"/>
                  </v:rect>
                </w:pict>
              </mc:Fallback>
            </mc:AlternateContent>
          </w:r>
          <w:r w:rsidR="00256A68">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o:spid="_x0000_s2051" type="#_x0000_t75" style="position:absolute;margin-left:13.75pt;margin-top:2.75pt;width:56.35pt;height:63pt;z-index:251659264;visibility:visible;mso-wrap-distance-right:0;mso-position-horizontal-relative:text;mso-position-vertical-relative:text">
                <v:imagedata r:id="rId1" o:title=""/>
                <w10:wrap type="topAndBottom"/>
              </v:shape>
              <o:OLEObject Type="Embed" ProgID="Word.Picture.8" ShapeID="ole_rId1" DrawAspect="Content" ObjectID="_1830409519" r:id="rId2"/>
            </w:object>
          </w:r>
        </w:p>
      </w:tc>
      <w:tc>
        <w:tcPr>
          <w:tcW w:w="6743" w:type="dxa"/>
        </w:tcPr>
        <w:p w:rsidR="00902099" w:rsidRDefault="00256A68">
          <w:pPr>
            <w:tabs>
              <w:tab w:val="center" w:pos="4252"/>
              <w:tab w:val="right" w:pos="8504"/>
            </w:tabs>
            <w:spacing w:after="0" w:line="240" w:lineRule="auto"/>
            <w:jc w:val="center"/>
            <w:rPr>
              <w:rFonts w:ascii="Bodoni MT" w:eastAsia="Times New Roman" w:hAnsi="Bodoni MT"/>
              <w:b/>
              <w:smallCaps/>
              <w:sz w:val="24"/>
              <w:szCs w:val="24"/>
              <w:lang w:eastAsia="pt-BR"/>
            </w:rPr>
          </w:pPr>
          <w:r>
            <w:rPr>
              <w:rFonts w:ascii="Bodoni MT" w:eastAsia="Times New Roman" w:hAnsi="Bodoni MT"/>
              <w:b/>
              <w:smallCaps/>
              <w:sz w:val="24"/>
              <w:szCs w:val="24"/>
              <w:lang w:eastAsia="pt-BR"/>
            </w:rPr>
            <w:t>Câmara Municipal de Piedade de Ponte Nova</w:t>
          </w:r>
        </w:p>
        <w:p w:rsidR="00902099" w:rsidRDefault="00256A68">
          <w:pPr>
            <w:tabs>
              <w:tab w:val="center" w:pos="4252"/>
              <w:tab w:val="center" w:pos="4419"/>
              <w:tab w:val="left" w:pos="4712"/>
              <w:tab w:val="right" w:pos="8838"/>
            </w:tabs>
            <w:spacing w:after="0" w:line="240" w:lineRule="auto"/>
            <w:rPr>
              <w:rFonts w:ascii="Bodoni MT" w:eastAsia="Times New Roman" w:hAnsi="Bodoni MT"/>
              <w:b/>
              <w:smallCaps/>
              <w:sz w:val="24"/>
              <w:szCs w:val="24"/>
              <w:lang w:eastAsia="pt-BR"/>
            </w:rPr>
          </w:pPr>
          <w:r>
            <w:rPr>
              <w:rFonts w:ascii="Bodoni MT" w:eastAsia="Times New Roman" w:hAnsi="Bodoni MT"/>
              <w:b/>
              <w:smallCaps/>
              <w:noProof/>
              <w:sz w:val="24"/>
              <w:szCs w:val="24"/>
              <w:lang w:eastAsia="pt-BR"/>
            </w:rPr>
            <mc:AlternateContent>
              <mc:Choice Requires="wps">
                <w:drawing>
                  <wp:anchor distT="19685" distB="19685" distL="19050" distR="19685" simplePos="0" relativeHeight="251655168" behindDoc="1" locked="0" layoutInCell="1" allowOverlap="1" wp14:anchorId="41F141AD">
                    <wp:simplePos x="0" y="0"/>
                    <wp:positionH relativeFrom="column">
                      <wp:posOffset>361315</wp:posOffset>
                    </wp:positionH>
                    <wp:positionV relativeFrom="paragraph">
                      <wp:posOffset>63500</wp:posOffset>
                    </wp:positionV>
                    <wp:extent cx="3429000" cy="0"/>
                    <wp:effectExtent l="19050" t="19685" r="19685" b="19685"/>
                    <wp:wrapNone/>
                    <wp:docPr id="1" name="Conector reto 1"/>
                    <wp:cNvGraphicFramePr/>
                    <a:graphic xmlns:a="http://schemas.openxmlformats.org/drawingml/2006/main">
                      <a:graphicData uri="http://schemas.microsoft.com/office/word/2010/wordprocessingShape">
                        <wps:wsp>
                          <wps:cNvCnPr/>
                          <wps:spPr>
                            <a:xfrm>
                              <a:off x="0" y="0"/>
                              <a:ext cx="3429000" cy="0"/>
                            </a:xfrm>
                            <a:prstGeom prst="line">
                              <a:avLst/>
                            </a:prstGeom>
                            <a:ln w="381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8D1D960" id="Conector reto 1" o:spid="_x0000_s1026" style="position:absolute;z-index:-251661312;visibility:visible;mso-wrap-style:square;mso-wrap-distance-left:1.5pt;mso-wrap-distance-top:1.55pt;mso-wrap-distance-right:1.55pt;mso-wrap-distance-bottom:1.55pt;mso-position-horizontal:absolute;mso-position-horizontal-relative:text;mso-position-vertical:absolute;mso-position-vertical-relative:text" from="28.45pt,5pt" to="298.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cKCzAEAAPkDAAAOAAAAZHJzL2Uyb0RvYy54bWysU8Fu2zAMvQ/oPwi6N3bSYeiMOD2kaC/D&#10;GmzrByiyFAuQRIFS4+TvS8mO222nDvNBFiXyke+RWt+dnGVHhdGAb/lyUXOmvITO+EPLn389XN9y&#10;FpPwnbDgVcvPKvK7zdWn9RAatYIebKeQEYiPzRBa3qcUmqqKsldOxAUE5elSAzqRyMRD1aEYCN3Z&#10;alXXX6oBsAsIUsVIp/fjJd8UfK2VTE9aR5WYbTnVlsqKZd3ntdqsRXNAEXojpzLEP1ThhPGUdIa6&#10;F0mwFzR/QTkjESLotJDgKtDaSFU4EJtl/Qebn70IqnAhcWKYZYr/D1Z+P+6QmY56x5kXjlq0pUbJ&#10;BMhQJWDLLNEQYkOeW7/DyYphh5nvSaPLf2LCTkXW8yyrOiUm6fDm8+prXZP68nJXvQUGjOlRgWN5&#10;03JrfGYsGnH8FhMlI9eLSz62ng2EeLskvGxHsKZ7MNYWAw/7rUV2FLnb5cvVE8RvbggvvhvPrafr&#10;zG7kU3bpbNWY6ofSJE2hVeDlhD/ODw04cbpMESWxngKyo6Z6Phg7heRoVcb2g/FzUMkPPs3xznjA&#10;IsM7dnm7h+5c+lkEoPkqSk1vIQ/we7vI9PZiN68AAAD//wMAUEsDBBQABgAIAAAAIQARDnbi2AAA&#10;AAgBAAAPAAAAZHJzL2Rvd25yZXYueG1sTI/NTsMwEITvSLyDtUi9UbtAqybEqRASNzhQeIBtvMQB&#10;/0S226Y8PVtxgOPOjGa/aTaTd+JAKQ8xaFjMFQgKXTRD6DW8vz1dr0HkgsGgi4E0nCjDpr28aLA2&#10;8Rhe6bAtveCSkGvUYEsZaylzZ8ljnseRAnsfMXksfKZemoRHLvdO3ii1kh6HwB8sjvRoqfva7r2G&#10;57tF9aKkHW/XxqH8/O6yS1nr2dX0cA+i0FT+wnDGZ3RomWkX98Fk4TQsVxUnWVc8if1ldRZ2v4Js&#10;G/l/QPsDAAD//wMAUEsBAi0AFAAGAAgAAAAhALaDOJL+AAAA4QEAABMAAAAAAAAAAAAAAAAAAAAA&#10;AFtDb250ZW50X1R5cGVzXS54bWxQSwECLQAUAAYACAAAACEAOP0h/9YAAACUAQAACwAAAAAAAAAA&#10;AAAAAAAvAQAAX3JlbHMvLnJlbHNQSwECLQAUAAYACAAAACEAmvXCgswBAAD5AwAADgAAAAAAAAAA&#10;AAAAAAAuAgAAZHJzL2Uyb0RvYy54bWxQSwECLQAUAAYACAAAACEAEQ524tgAAAAIAQAADwAAAAAA&#10;AAAAAAAAAAAmBAAAZHJzL2Rvd25yZXYueG1sUEsFBgAAAAAEAAQA8wAAACsFAAAAAA==&#10;" strokeweight="3pt"/>
                </w:pict>
              </mc:Fallback>
            </mc:AlternateContent>
          </w:r>
        </w:p>
        <w:p w:rsidR="00902099" w:rsidRDefault="00256A68">
          <w:pPr>
            <w:tabs>
              <w:tab w:val="center" w:pos="4419"/>
              <w:tab w:val="right" w:pos="8838"/>
            </w:tabs>
            <w:spacing w:after="0" w:line="240" w:lineRule="auto"/>
            <w:jc w:val="center"/>
            <w:rPr>
              <w:sz w:val="21"/>
              <w:szCs w:val="21"/>
            </w:rPr>
          </w:pPr>
          <w:r>
            <w:rPr>
              <w:rFonts w:ascii="Bodoni MT" w:eastAsia="Times New Roman" w:hAnsi="Bodoni MT"/>
              <w:b/>
              <w:smallCaps/>
              <w:sz w:val="21"/>
              <w:szCs w:val="21"/>
              <w:lang w:eastAsia="pt-BR"/>
            </w:rPr>
            <w:t>CNPJ=00.907.927/0001-00    Telefax=31/3871-5110</w:t>
          </w:r>
        </w:p>
        <w:p w:rsidR="00902099" w:rsidRDefault="00256A68">
          <w:pPr>
            <w:tabs>
              <w:tab w:val="center" w:pos="4419"/>
              <w:tab w:val="right" w:pos="8838"/>
            </w:tabs>
            <w:spacing w:after="0" w:line="240" w:lineRule="auto"/>
            <w:jc w:val="center"/>
            <w:rPr>
              <w:sz w:val="21"/>
              <w:szCs w:val="21"/>
            </w:rPr>
          </w:pPr>
          <w:r>
            <w:rPr>
              <w:rFonts w:ascii="Bodoni MT" w:eastAsia="Times New Roman" w:hAnsi="Bodoni MT"/>
              <w:b/>
              <w:smallCaps/>
              <w:sz w:val="21"/>
              <w:szCs w:val="21"/>
              <w:lang w:eastAsia="pt-BR"/>
            </w:rPr>
            <w:t>Rua Professor José Sátiro de Melo, 85 –  Centro – CEP: 35.382-000</w:t>
          </w:r>
        </w:p>
      </w:tc>
    </w:tr>
  </w:tbl>
  <w:p w:rsidR="00902099" w:rsidRDefault="0090209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0" w:type="dxa"/>
        <w:right w:w="0" w:type="dxa"/>
      </w:tblCellMar>
      <w:tblLook w:val="04A0" w:firstRow="1" w:lastRow="0" w:firstColumn="1" w:lastColumn="0" w:noHBand="0" w:noVBand="1"/>
    </w:tblPr>
    <w:tblGrid>
      <w:gridCol w:w="1761"/>
      <w:gridCol w:w="6743"/>
    </w:tblGrid>
    <w:tr w:rsidR="00902099">
      <w:trPr>
        <w:trHeight w:val="1463"/>
      </w:trPr>
      <w:tc>
        <w:tcPr>
          <w:tcW w:w="1761" w:type="dxa"/>
        </w:tcPr>
        <w:p w:rsidR="00902099" w:rsidRDefault="00932AE3">
          <w:pPr>
            <w:pStyle w:val="Contedodatabelauser"/>
          </w:pPr>
          <w:r>
            <w:rPr>
              <w:noProof/>
              <w:lang w:eastAsia="pt-B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 name="_x0000_tole_rId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D091A" id="_x0000_tole_rId1"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1XQIAALEEAAAOAAAAZHJzL2Uyb0RvYy54bWysVMFu2zAMvQ/YPwi6p7ZTN22NOEUQN0OB&#10;bivQ7VwokhwLsyWNUuJ0xf59lJxk6XoZhvngiCL9+MhHZnqz61qyleCU0SXNzlJKpOZGKL0u6dcv&#10;y9EVJc4zLVhrtCzps3T0Zvb+3bS3hRybxrRCAkEQ7YrelrTx3hZJ4ngjO+bOjJUanbWBjnk0YZ0I&#10;YD2id20yTtNJ0hsQFgyXzuFtNTjpLOLXteT+c1076UlbUuTm4xviexXeyWzKijUw2yi+p8H+gUXH&#10;lMakR6iKeUY2oN5AdYqDcab2Z9x0ialrxWWsAavJ0j+qeWyYlbEWbI6zxza5/wfLP20fgChR0pwS&#10;zTqU6GmX4vPkTSuf4E5klDRKCBnkDe3qrSvwq0f7AKFgZ+8N/+aINo+yxXaHKDQWDdNrOXf2zRWA&#10;6RvJBBYR8ZJXgMFwCE1W/UcjkA3beBM7u6uhCwmxZ2QXBXw+Cih3nnC8nJxfIHVKOLr2Z2ScsOLw&#10;sQXnP0jTkXAoKSC7CM62984PoYeQkEubpWrbOCOYAkPCZUgWpX25Tq9vr26v8lE+ntyO8rSqRvPl&#10;Ih9NltnlRXVeLRZV9jPgZ3kx9DDAHcYsy/9Oxv3ADwNyHDRnWiUCXKDkYL1atEC2DMd8GZ8gFRZ+&#10;Epa8phHdWMvhN1YXxQj9H3ReGfGMWoDBXmFbcc/x0Bj4QUmPO1NS933DQFLS3mnU8zrL87Bk0cgv&#10;LsdowKlndephmiNUST0lw3Hhh8XcWFDrBjNlURtt5jgDtYr6hPkYWCHvYOBexAr2OxwW79SOUb//&#10;aWa/AA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BrD5/VdAgAAsQQAAA4AAAAAAAAAAAAAAAAALgIAAGRycy9lMm9Eb2MueG1sUEsB&#10;Ai0AFAAGAAgAAAAhAIZbh9XYAAAABQEAAA8AAAAAAAAAAAAAAAAAtwQAAGRycy9kb3ducmV2Lnht&#10;bFBLBQYAAAAABAAEAPMAAAC8BQAAAAA=&#10;" filled="f" stroked="f">
                    <o:lock v:ext="edit" aspectratio="t" selection="t"/>
                  </v:rect>
                </w:pict>
              </mc:Fallback>
            </mc:AlternateContent>
          </w:r>
          <w:r>
            <w:rPr>
              <w:noProof/>
              <w:lang w:eastAsia="pt-BR"/>
            </w:rPr>
            <w:drawing>
              <wp:anchor distT="0" distB="0" distL="114300" distR="0" simplePos="0" relativeHeight="251660288" behindDoc="0" locked="0" layoutInCell="1" allowOverlap="1">
                <wp:simplePos x="0" y="0"/>
                <wp:positionH relativeFrom="column">
                  <wp:posOffset>174625</wp:posOffset>
                </wp:positionH>
                <wp:positionV relativeFrom="paragraph">
                  <wp:posOffset>34925</wp:posOffset>
                </wp:positionV>
                <wp:extent cx="715645" cy="800100"/>
                <wp:effectExtent l="0" t="0" r="8255" b="0"/>
                <wp:wrapTopAndBottom/>
                <wp:docPr id="3" name="ole_r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_rI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800100"/>
                        </a:xfrm>
                        <a:prstGeom prst="rect">
                          <a:avLst/>
                        </a:prstGeom>
                        <a:noFill/>
                      </pic:spPr>
                    </pic:pic>
                  </a:graphicData>
                </a:graphic>
                <wp14:sizeRelH relativeFrom="page">
                  <wp14:pctWidth>0</wp14:pctWidth>
                </wp14:sizeRelH>
                <wp14:sizeRelV relativeFrom="page">
                  <wp14:pctHeight>0</wp14:pctHeight>
                </wp14:sizeRelV>
              </wp:anchor>
            </w:drawing>
          </w:r>
        </w:p>
      </w:tc>
      <w:tc>
        <w:tcPr>
          <w:tcW w:w="6743" w:type="dxa"/>
        </w:tcPr>
        <w:p w:rsidR="00902099" w:rsidRDefault="00256A68">
          <w:pPr>
            <w:tabs>
              <w:tab w:val="center" w:pos="4252"/>
              <w:tab w:val="right" w:pos="8504"/>
            </w:tabs>
            <w:spacing w:after="0" w:line="240" w:lineRule="auto"/>
            <w:jc w:val="center"/>
            <w:rPr>
              <w:rFonts w:ascii="Bodoni MT" w:eastAsia="Times New Roman" w:hAnsi="Bodoni MT"/>
              <w:b/>
              <w:smallCaps/>
              <w:sz w:val="24"/>
              <w:szCs w:val="24"/>
              <w:lang w:eastAsia="pt-BR"/>
            </w:rPr>
          </w:pPr>
          <w:bookmarkStart w:id="2" w:name="_GoBack_Copia_1_Copia_1"/>
          <w:bookmarkEnd w:id="2"/>
          <w:r>
            <w:rPr>
              <w:rFonts w:ascii="Bodoni MT" w:eastAsia="Times New Roman" w:hAnsi="Bodoni MT"/>
              <w:b/>
              <w:smallCaps/>
              <w:sz w:val="24"/>
              <w:szCs w:val="24"/>
              <w:lang w:eastAsia="pt-BR"/>
            </w:rPr>
            <w:t>Câmara Municipal de Piedade de Ponte Nova</w:t>
          </w:r>
        </w:p>
        <w:p w:rsidR="00902099" w:rsidRDefault="00256A68">
          <w:pPr>
            <w:tabs>
              <w:tab w:val="center" w:pos="4252"/>
              <w:tab w:val="center" w:pos="4419"/>
              <w:tab w:val="left" w:pos="4712"/>
              <w:tab w:val="right" w:pos="8838"/>
            </w:tabs>
            <w:spacing w:after="0" w:line="240" w:lineRule="auto"/>
            <w:rPr>
              <w:rFonts w:ascii="Bodoni MT" w:eastAsia="Times New Roman" w:hAnsi="Bodoni MT"/>
              <w:b/>
              <w:smallCaps/>
              <w:sz w:val="24"/>
              <w:szCs w:val="24"/>
              <w:lang w:eastAsia="pt-BR"/>
            </w:rPr>
          </w:pPr>
          <w:r>
            <w:rPr>
              <w:rFonts w:ascii="Bodoni MT" w:eastAsia="Times New Roman" w:hAnsi="Bodoni MT"/>
              <w:b/>
              <w:smallCaps/>
              <w:noProof/>
              <w:sz w:val="24"/>
              <w:szCs w:val="24"/>
              <w:lang w:eastAsia="pt-BR"/>
            </w:rPr>
            <mc:AlternateContent>
              <mc:Choice Requires="wps">
                <w:drawing>
                  <wp:anchor distT="19685" distB="19685" distL="19050" distR="19685" simplePos="0" relativeHeight="251656192" behindDoc="1" locked="0" layoutInCell="1" allowOverlap="1" wp14:anchorId="41F141AD">
                    <wp:simplePos x="0" y="0"/>
                    <wp:positionH relativeFrom="column">
                      <wp:posOffset>361315</wp:posOffset>
                    </wp:positionH>
                    <wp:positionV relativeFrom="paragraph">
                      <wp:posOffset>63500</wp:posOffset>
                    </wp:positionV>
                    <wp:extent cx="3429000" cy="0"/>
                    <wp:effectExtent l="19050" t="19685" r="19685" b="19685"/>
                    <wp:wrapNone/>
                    <wp:docPr id="2" name="Conector reto 1"/>
                    <wp:cNvGraphicFramePr/>
                    <a:graphic xmlns:a="http://schemas.openxmlformats.org/drawingml/2006/main">
                      <a:graphicData uri="http://schemas.microsoft.com/office/word/2010/wordprocessingShape">
                        <wps:wsp>
                          <wps:cNvCnPr/>
                          <wps:spPr>
                            <a:xfrm>
                              <a:off x="0" y="0"/>
                              <a:ext cx="3429000" cy="0"/>
                            </a:xfrm>
                            <a:prstGeom prst="line">
                              <a:avLst/>
                            </a:prstGeom>
                            <a:ln w="381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0464A08" id="Conector reto 1" o:spid="_x0000_s1026" style="position:absolute;z-index:-251660288;visibility:visible;mso-wrap-style:square;mso-wrap-distance-left:1.5pt;mso-wrap-distance-top:1.55pt;mso-wrap-distance-right:1.55pt;mso-wrap-distance-bottom:1.55pt;mso-position-horizontal:absolute;mso-position-horizontal-relative:text;mso-position-vertical:absolute;mso-position-vertical-relative:text" from="28.45pt,5pt" to="298.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a2wzAEAAPkDAAAOAAAAZHJzL2Uyb0RvYy54bWysU8Fu2zAMvQ/oPwi6N3bSYeiMOD2kaC/D&#10;GmzrByiyFAuQRIFS4+TvS8mO222nDvNBFinyke+JWt+dnGVHhdGAb/lyUXOmvITO+EPLn389XN9y&#10;FpPwnbDgVcvPKvK7zdWn9RAatYIebKeQEYiPzRBa3qcUmqqKsldOxAUE5elQAzqRyMRD1aEYCN3Z&#10;alXXX6oBsAsIUsVI3vvxkG8KvtZKpieto0rMtpx6S2XFsu7zWm3WojmgCL2RUxviH7pwwngqOkPd&#10;iyTYC5q/oJyRCBF0WkhwFWhtpCociM2y/oPNz14EVbiQODHMMsX/Byu/H3fITNfyFWdeOLqiLV2U&#10;TIAMVQK2zBINITYUufU7nKwYdpj5njS6/Ccm7FRkPc+yqlNikpw3n1df65rUl5ez6i0xYEyPChzL&#10;m5Zb4zNj0Yjjt5ioGIVeQrLbejYQ4u2S8LIdwZruwVhbDDzstxbZUeTbLl/uniB+C0N48d3ot56O&#10;M7uRT9mls1VjqR9KkzSFVoGXE/44PzTgxOkyRVTEekrIgZr6+WDulJKzVRnbD+bPSaU++DTnO+MB&#10;iwzv2OXtHrpzuc8iAM1XUWp6C3mA39tFprcXu3kFAAD//wMAUEsDBBQABgAIAAAAIQARDnbi2AAA&#10;AAgBAAAPAAAAZHJzL2Rvd25yZXYueG1sTI/NTsMwEITvSLyDtUi9UbtAqybEqRASNzhQeIBtvMQB&#10;/0S226Y8PVtxgOPOjGa/aTaTd+JAKQ8xaFjMFQgKXTRD6DW8vz1dr0HkgsGgi4E0nCjDpr28aLA2&#10;8Rhe6bAtveCSkGvUYEsZaylzZ8ljnseRAnsfMXksfKZemoRHLvdO3ii1kh6HwB8sjvRoqfva7r2G&#10;57tF9aKkHW/XxqH8/O6yS1nr2dX0cA+i0FT+wnDGZ3RomWkX98Fk4TQsVxUnWVc8if1ldRZ2v4Js&#10;G/l/QPsDAAD//wMAUEsBAi0AFAAGAAgAAAAhALaDOJL+AAAA4QEAABMAAAAAAAAAAAAAAAAAAAAA&#10;AFtDb250ZW50X1R5cGVzXS54bWxQSwECLQAUAAYACAAAACEAOP0h/9YAAACUAQAACwAAAAAAAAAA&#10;AAAAAAAvAQAAX3JlbHMvLnJlbHNQSwECLQAUAAYACAAAACEAuYWtsMwBAAD5AwAADgAAAAAAAAAA&#10;AAAAAAAuAgAAZHJzL2Uyb0RvYy54bWxQSwECLQAUAAYACAAAACEAEQ524tgAAAAIAQAADwAAAAAA&#10;AAAAAAAAAAAmBAAAZHJzL2Rvd25yZXYueG1sUEsFBgAAAAAEAAQA8wAAACsFAAAAAA==&#10;" strokeweight="3pt"/>
                </w:pict>
              </mc:Fallback>
            </mc:AlternateContent>
          </w:r>
        </w:p>
        <w:p w:rsidR="00902099" w:rsidRDefault="00256A68">
          <w:pPr>
            <w:tabs>
              <w:tab w:val="center" w:pos="4419"/>
              <w:tab w:val="right" w:pos="8838"/>
            </w:tabs>
            <w:spacing w:after="0" w:line="240" w:lineRule="auto"/>
            <w:jc w:val="center"/>
            <w:rPr>
              <w:sz w:val="21"/>
              <w:szCs w:val="21"/>
            </w:rPr>
          </w:pPr>
          <w:r>
            <w:rPr>
              <w:rFonts w:ascii="Bodoni MT" w:eastAsia="Times New Roman" w:hAnsi="Bodoni MT"/>
              <w:b/>
              <w:smallCaps/>
              <w:sz w:val="21"/>
              <w:szCs w:val="21"/>
              <w:lang w:eastAsia="pt-BR"/>
            </w:rPr>
            <w:t>CNPJ=00.907.927/0001-00    Telefax=31/3871-5110</w:t>
          </w:r>
        </w:p>
        <w:p w:rsidR="00902099" w:rsidRDefault="00256A68">
          <w:pPr>
            <w:tabs>
              <w:tab w:val="center" w:pos="4419"/>
              <w:tab w:val="right" w:pos="8838"/>
            </w:tabs>
            <w:spacing w:after="0" w:line="240" w:lineRule="auto"/>
            <w:jc w:val="center"/>
            <w:rPr>
              <w:sz w:val="21"/>
              <w:szCs w:val="21"/>
            </w:rPr>
          </w:pPr>
          <w:r>
            <w:rPr>
              <w:rFonts w:ascii="Bodoni MT" w:eastAsia="Times New Roman" w:hAnsi="Bodoni MT"/>
              <w:b/>
              <w:smallCaps/>
              <w:sz w:val="21"/>
              <w:szCs w:val="21"/>
              <w:lang w:eastAsia="pt-BR"/>
            </w:rPr>
            <w:t>Rua Professor José Sátiro de Melo, 85 –  Centro – CEP: 35.382-000</w:t>
          </w:r>
        </w:p>
      </w:tc>
    </w:tr>
  </w:tbl>
  <w:p w:rsidR="00902099" w:rsidRDefault="009020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247A3"/>
    <w:multiLevelType w:val="multilevel"/>
    <w:tmpl w:val="12F6CA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8B7798E"/>
    <w:multiLevelType w:val="multilevel"/>
    <w:tmpl w:val="29D898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099"/>
    <w:rsid w:val="00256A68"/>
    <w:rsid w:val="00902099"/>
    <w:rsid w:val="00932AE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4CC029C-CB5F-4A26-B986-A674F44C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9DC"/>
    <w:pPr>
      <w:spacing w:after="200" w:line="276" w:lineRule="auto"/>
    </w:pPr>
    <w:rPr>
      <w:rFonts w:cs="Times New Roman"/>
    </w:rPr>
  </w:style>
  <w:style w:type="paragraph" w:styleId="Ttulo5">
    <w:name w:val="heading 5"/>
    <w:basedOn w:val="Normal"/>
    <w:next w:val="Normal"/>
    <w:qFormat/>
    <w:pPr>
      <w:keepNext/>
      <w:numPr>
        <w:ilvl w:val="4"/>
        <w:numId w:val="1"/>
      </w:numPr>
      <w:jc w:val="center"/>
      <w:outlineLvl w:val="4"/>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qFormat/>
    <w:rPr>
      <w:rFonts w:ascii="Tahoma" w:hAnsi="Tahoma" w:cs="Tahoma"/>
      <w:sz w:val="16"/>
      <w:szCs w:val="16"/>
    </w:rPr>
  </w:style>
  <w:style w:type="character" w:customStyle="1" w:styleId="RodapChar">
    <w:name w:val="Rodapé Char"/>
    <w:qFormat/>
    <w:rPr>
      <w:rFonts w:ascii="Arial" w:hAnsi="Arial"/>
      <w:sz w:val="22"/>
      <w:szCs w:val="22"/>
    </w:rPr>
  </w:style>
  <w:style w:type="character" w:customStyle="1" w:styleId="CabealhoChar">
    <w:name w:val="Cabeçalho Char"/>
    <w:qFormat/>
    <w:rPr>
      <w:rFonts w:ascii="Arial" w:hAnsi="Arial"/>
      <w:sz w:val="22"/>
      <w:szCs w:val="22"/>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tulouser">
    <w:name w:val="Título (user)"/>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suppressLineNumbers/>
    </w:pPr>
    <w:rPr>
      <w:rFonts w:cs="Lucida Sans"/>
    </w:rPr>
  </w:style>
  <w:style w:type="paragraph" w:customStyle="1" w:styleId="Corpodetexto31">
    <w:name w:val="Corpo de texto 31"/>
    <w:basedOn w:val="Normal"/>
    <w:qFormat/>
    <w:pPr>
      <w:jc w:val="both"/>
    </w:pPr>
    <w:rPr>
      <w:rFonts w:ascii="Arial" w:hAnsi="Arial" w:cs="Arial"/>
    </w:rPr>
  </w:style>
  <w:style w:type="paragraph" w:styleId="SemEspaamento">
    <w:name w:val="No Spacing"/>
    <w:qFormat/>
    <w:rPr>
      <w:rFonts w:ascii="Arial" w:hAnsi="Arial" w:cs="Arial"/>
    </w:rPr>
  </w:style>
  <w:style w:type="paragraph" w:customStyle="1" w:styleId="Contedodatabelauser">
    <w:name w:val="Conteúdo da tabela (user)"/>
    <w:basedOn w:val="Normal"/>
    <w:qFormat/>
    <w:pPr>
      <w:widowControl w:val="0"/>
      <w:suppressLineNumbers/>
    </w:pPr>
  </w:style>
  <w:style w:type="paragraph" w:customStyle="1" w:styleId="Cabealhoerodapuser">
    <w:name w:val="Cabeçalho e rodapé (user)"/>
    <w:basedOn w:val="Normal"/>
    <w:qFormat/>
    <w:pPr>
      <w:suppressLineNumbers/>
      <w:tabs>
        <w:tab w:val="center" w:pos="4252"/>
        <w:tab w:val="right" w:pos="8504"/>
      </w:tabs>
    </w:pPr>
  </w:style>
  <w:style w:type="paragraph" w:customStyle="1" w:styleId="Cabealhoerodap">
    <w:name w:val="Cabeçalho e rodapé"/>
    <w:basedOn w:val="Normal"/>
    <w:qFormat/>
  </w:style>
  <w:style w:type="paragraph" w:styleId="Rodap">
    <w:name w:val="footer"/>
    <w:basedOn w:val="Cabealhoerodapuser"/>
  </w:style>
  <w:style w:type="paragraph" w:styleId="Cabealho">
    <w:name w:val="header"/>
    <w:basedOn w:val="Cabealhoerodapuser"/>
  </w:style>
  <w:style w:type="paragraph" w:customStyle="1" w:styleId="Ttulodetabelauser">
    <w:name w:val="Título de tabela (user)"/>
    <w:basedOn w:val="Contedodatabelauser"/>
    <w:qFormat/>
    <w:pPr>
      <w:jc w:val="center"/>
    </w:pPr>
    <w:rPr>
      <w:b/>
      <w:bCs/>
    </w:rPr>
  </w:style>
  <w:style w:type="paragraph" w:customStyle="1" w:styleId="LO-normal">
    <w:name w:val="LO-normal"/>
    <w:qFormat/>
    <w:rPr>
      <w:rFonts w:ascii="Arial" w:eastAsia="Arial" w:hAnsi="Arial" w:cs="Arial"/>
      <w:sz w:val="28"/>
      <w:szCs w:val="28"/>
      <w:lang w:eastAsia="zh-CN" w:bidi="hi-IN"/>
    </w:rPr>
  </w:style>
  <w:style w:type="paragraph" w:styleId="Textodebalo">
    <w:name w:val="Balloon Text"/>
    <w:basedOn w:val="Normal"/>
    <w:qFormat/>
    <w:rPr>
      <w:rFonts w:ascii="Tahoma" w:hAnsi="Tahoma" w:cs="Tahoma"/>
      <w:sz w:val="16"/>
      <w:szCs w:val="16"/>
    </w:rPr>
  </w:style>
  <w:style w:type="paragraph" w:customStyle="1" w:styleId="Cabealhoerodap1">
    <w:name w:val="Cabeçalho e rodapé1"/>
    <w:basedOn w:val="Normal"/>
    <w:qFormat/>
  </w:style>
  <w:style w:type="paragraph" w:customStyle="1" w:styleId="CabealhoeRodap2">
    <w:name w:val="Cabeçalho e Rodapé2"/>
    <w:basedOn w:val="Normal"/>
    <w:qFormat/>
  </w:style>
  <w:style w:type="table" w:styleId="Tabelacomgrade">
    <w:name w:val="Table Grid"/>
    <w:basedOn w:val="Tabelanormal"/>
    <w:uiPriority w:val="59"/>
    <w:rsid w:val="00B91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4762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Thais</dc:creator>
  <dc:description/>
  <cp:lastModifiedBy>Conta da Microsoft</cp:lastModifiedBy>
  <cp:revision>2</cp:revision>
  <cp:lastPrinted>2026-01-20T13:19:00Z</cp:lastPrinted>
  <dcterms:created xsi:type="dcterms:W3CDTF">2026-01-20T13:19:00Z</dcterms:created>
  <dcterms:modified xsi:type="dcterms:W3CDTF">2026-01-20T13:19:00Z</dcterms:modified>
  <dc:language>pt-BR</dc:language>
</cp:coreProperties>
</file>